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6015B" w14:textId="61BD7D20" w:rsidR="00FB24D9" w:rsidRPr="006E7A7E" w:rsidRDefault="006E7A7E" w:rsidP="006E7A7E">
      <w:pPr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  <w:r w:rsidRPr="006E7A7E">
        <w:rPr>
          <w:rFonts w:ascii="TH SarabunIT๙" w:hAnsi="TH SarabunIT๙" w:cs="TH SarabunIT๙"/>
          <w:noProof/>
          <w:cs/>
        </w:rPr>
        <w:drawing>
          <wp:inline distT="0" distB="0" distL="0" distR="0" wp14:anchorId="3D7628B0" wp14:editId="7903CFA3">
            <wp:extent cx="2003425" cy="19081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CC6A" w14:textId="77777777" w:rsidR="00A20C49" w:rsidRPr="006E7A7E" w:rsidRDefault="008B5DAC" w:rsidP="00A20C49">
      <w:pPr>
        <w:jc w:val="center"/>
        <w:rPr>
          <w:rFonts w:ascii="TH SarabunIT๙" w:eastAsia="Sarabun" w:hAnsi="TH SarabunIT๙" w:cs="TH SarabunIT๙"/>
          <w:bCs/>
          <w:sz w:val="48"/>
          <w:szCs w:val="48"/>
        </w:rPr>
      </w:pPr>
      <w:proofErr w:type="spellStart"/>
      <w:r w:rsidRPr="006E7A7E">
        <w:rPr>
          <w:rFonts w:ascii="TH SarabunIT๙" w:eastAsia="Sarabun" w:hAnsi="TH SarabunIT๙" w:cs="TH SarabunIT๙"/>
          <w:b/>
          <w:sz w:val="48"/>
          <w:szCs w:val="48"/>
        </w:rPr>
        <w:t>รายงานผลการ</w:t>
      </w:r>
      <w:proofErr w:type="spellEnd"/>
      <w:r w:rsidR="00A20C49" w:rsidRPr="006E7A7E">
        <w:rPr>
          <w:rFonts w:ascii="TH SarabunIT๙" w:eastAsia="Sarabun" w:hAnsi="TH SarabunIT๙" w:cs="TH SarabunIT๙"/>
          <w:bCs/>
          <w:sz w:val="48"/>
          <w:szCs w:val="48"/>
          <w:cs/>
        </w:rPr>
        <w:t>ประเมินความเสี่ยงการทุจริต</w:t>
      </w:r>
    </w:p>
    <w:p w14:paraId="5D04B581" w14:textId="77777777" w:rsidR="00A20C49" w:rsidRPr="006E7A7E" w:rsidRDefault="00A20C49" w:rsidP="00A20C49">
      <w:pPr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proofErr w:type="spellStart"/>
      <w:r w:rsidRPr="006E7A7E">
        <w:rPr>
          <w:rFonts w:ascii="TH SarabunIT๙" w:eastAsia="Sarabun" w:hAnsi="TH SarabunIT๙" w:cs="TH SarabunIT๙"/>
          <w:b/>
          <w:sz w:val="48"/>
          <w:szCs w:val="48"/>
        </w:rPr>
        <w:t>ประจำปีงบประมาณ</w:t>
      </w:r>
      <w:proofErr w:type="spellEnd"/>
      <w:r w:rsidRPr="006E7A7E">
        <w:rPr>
          <w:rFonts w:ascii="TH SarabunIT๙" w:eastAsia="Sarabun" w:hAnsi="TH SarabunIT๙" w:cs="TH SarabunIT๙"/>
          <w:b/>
          <w:sz w:val="48"/>
          <w:szCs w:val="48"/>
        </w:rPr>
        <w:t xml:space="preserve"> </w:t>
      </w:r>
      <w:proofErr w:type="spellStart"/>
      <w:r w:rsidRPr="006E7A7E">
        <w:rPr>
          <w:rFonts w:ascii="TH SarabunIT๙" w:eastAsia="Sarabun" w:hAnsi="TH SarabunIT๙" w:cs="TH SarabunIT๙"/>
          <w:b/>
          <w:sz w:val="48"/>
          <w:szCs w:val="48"/>
        </w:rPr>
        <w:t>พ.ศ</w:t>
      </w:r>
      <w:proofErr w:type="spellEnd"/>
      <w:r w:rsidRPr="006E7A7E">
        <w:rPr>
          <w:rFonts w:ascii="TH SarabunIT๙" w:eastAsia="Sarabun" w:hAnsi="TH SarabunIT๙" w:cs="TH SarabunIT๙"/>
          <w:b/>
          <w:sz w:val="48"/>
          <w:szCs w:val="48"/>
        </w:rPr>
        <w:t>. 2568</w:t>
      </w:r>
    </w:p>
    <w:p w14:paraId="18B3FC25" w14:textId="77777777" w:rsidR="00FB24D9" w:rsidRPr="006E7A7E" w:rsidRDefault="00FB24D9">
      <w:pPr>
        <w:jc w:val="center"/>
        <w:rPr>
          <w:rFonts w:ascii="TH SarabunIT๙" w:eastAsia="Sarabun" w:hAnsi="TH SarabunIT๙" w:cs="TH SarabunIT๙"/>
          <w:b/>
          <w:sz w:val="44"/>
          <w:szCs w:val="44"/>
        </w:rPr>
      </w:pPr>
    </w:p>
    <w:p w14:paraId="4BDCC898" w14:textId="77777777" w:rsidR="00FB24D9" w:rsidRPr="006E7A7E" w:rsidRDefault="00FB24D9">
      <w:pPr>
        <w:jc w:val="center"/>
        <w:rPr>
          <w:rFonts w:ascii="TH SarabunIT๙" w:eastAsia="Sarabun" w:hAnsi="TH SarabunIT๙" w:cs="TH SarabunIT๙"/>
          <w:b/>
          <w:sz w:val="44"/>
          <w:szCs w:val="44"/>
        </w:rPr>
      </w:pPr>
    </w:p>
    <w:p w14:paraId="70084F0D" w14:textId="77777777" w:rsidR="00FB24D9" w:rsidRPr="006E7A7E" w:rsidRDefault="00FB24D9">
      <w:pPr>
        <w:jc w:val="center"/>
        <w:rPr>
          <w:rFonts w:ascii="TH SarabunIT๙" w:eastAsia="Sarabun" w:hAnsi="TH SarabunIT๙" w:cs="TH SarabunIT๙"/>
          <w:b/>
          <w:sz w:val="44"/>
          <w:szCs w:val="44"/>
        </w:rPr>
      </w:pPr>
    </w:p>
    <w:p w14:paraId="09CD8BC7" w14:textId="77777777" w:rsidR="00FB24D9" w:rsidRPr="006E7A7E" w:rsidRDefault="008B5DAC">
      <w:pPr>
        <w:jc w:val="center"/>
        <w:rPr>
          <w:rFonts w:ascii="TH SarabunIT๙" w:eastAsia="Sarabun" w:hAnsi="TH SarabunIT๙" w:cs="TH SarabunIT๙"/>
          <w:bCs/>
          <w:sz w:val="48"/>
          <w:szCs w:val="48"/>
          <w:cs/>
        </w:rPr>
      </w:pPr>
      <w:r w:rsidRPr="006E7A7E">
        <w:rPr>
          <w:rFonts w:ascii="TH SarabunIT๙" w:eastAsia="Sarabun" w:hAnsi="TH SarabunIT๙" w:cs="TH SarabunIT๙"/>
          <w:b/>
          <w:sz w:val="44"/>
          <w:szCs w:val="44"/>
        </w:rPr>
        <w:br/>
      </w:r>
      <w:r w:rsidR="00A20C49" w:rsidRPr="006E7A7E">
        <w:rPr>
          <w:rFonts w:ascii="TH SarabunIT๙" w:eastAsia="Sarabun" w:hAnsi="TH SarabunIT๙" w:cs="TH SarabunIT๙"/>
          <w:bCs/>
          <w:sz w:val="48"/>
          <w:szCs w:val="48"/>
          <w:cs/>
        </w:rPr>
        <w:t>โดย</w:t>
      </w:r>
    </w:p>
    <w:p w14:paraId="2D78140E" w14:textId="339655D8" w:rsidR="00FB24D9" w:rsidRPr="006E7A7E" w:rsidRDefault="006E7A7E">
      <w:pPr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6E7A7E">
        <w:rPr>
          <w:rFonts w:ascii="TH SarabunIT๙" w:eastAsia="Sarabun" w:hAnsi="TH SarabunIT๙" w:cs="TH SarabunIT๙"/>
          <w:bCs/>
          <w:sz w:val="48"/>
          <w:szCs w:val="48"/>
          <w:cs/>
        </w:rPr>
        <w:t>เทศบาลตำบลคำน้ำแซบ</w:t>
      </w:r>
      <w:r w:rsidR="008B5DAC" w:rsidRPr="006E7A7E">
        <w:rPr>
          <w:rFonts w:ascii="TH SarabunIT๙" w:eastAsia="Sarabun" w:hAnsi="TH SarabunIT๙" w:cs="TH SarabunIT๙"/>
          <w:bCs/>
          <w:sz w:val="48"/>
          <w:szCs w:val="48"/>
        </w:rPr>
        <w:br/>
      </w:r>
      <w:proofErr w:type="spellStart"/>
      <w:r w:rsidR="008B5DAC" w:rsidRPr="006E7A7E">
        <w:rPr>
          <w:rFonts w:ascii="TH SarabunIT๙" w:eastAsia="Sarabun" w:hAnsi="TH SarabunIT๙" w:cs="TH SarabunIT๙"/>
          <w:b/>
          <w:sz w:val="48"/>
          <w:szCs w:val="48"/>
        </w:rPr>
        <w:t>อำเภ</w:t>
      </w:r>
      <w:proofErr w:type="spellEnd"/>
      <w:r w:rsidRPr="006E7A7E">
        <w:rPr>
          <w:rFonts w:ascii="TH SarabunIT๙" w:eastAsia="Sarabun" w:hAnsi="TH SarabunIT๙" w:cs="TH SarabunIT๙"/>
          <w:bCs/>
          <w:sz w:val="48"/>
          <w:szCs w:val="48"/>
          <w:cs/>
        </w:rPr>
        <w:t>อวารินชำราบ</w:t>
      </w:r>
      <w:r w:rsidR="008B5DAC" w:rsidRPr="006E7A7E">
        <w:rPr>
          <w:rFonts w:ascii="TH SarabunIT๙" w:eastAsia="Sarabun" w:hAnsi="TH SarabunIT๙" w:cs="TH SarabunIT๙"/>
          <w:b/>
          <w:sz w:val="48"/>
          <w:szCs w:val="48"/>
        </w:rPr>
        <w:t xml:space="preserve"> </w:t>
      </w:r>
      <w:proofErr w:type="spellStart"/>
      <w:r w:rsidR="008B5DAC" w:rsidRPr="006E7A7E">
        <w:rPr>
          <w:rFonts w:ascii="TH SarabunIT๙" w:eastAsia="Sarabun" w:hAnsi="TH SarabunIT๙" w:cs="TH SarabunIT๙"/>
          <w:b/>
          <w:sz w:val="48"/>
          <w:szCs w:val="48"/>
        </w:rPr>
        <w:t>จังหวัดอุบลราชธานี</w:t>
      </w:r>
      <w:proofErr w:type="spellEnd"/>
    </w:p>
    <w:p w14:paraId="72A630DA" w14:textId="77777777" w:rsidR="00FB24D9" w:rsidRPr="00A20C49" w:rsidRDefault="008B5DAC">
      <w:pPr>
        <w:jc w:val="center"/>
        <w:rPr>
          <w:rFonts w:ascii="TH SarabunPSK" w:eastAsia="Sarabun" w:hAnsi="TH SarabunPSK" w:cs="TH SarabunPSK"/>
          <w:b/>
        </w:rPr>
      </w:pPr>
      <w:r w:rsidRPr="00A20C49">
        <w:rPr>
          <w:rFonts w:ascii="TH SarabunPSK" w:hAnsi="TH SarabunPSK" w:cs="TH SarabunPSK"/>
          <w:sz w:val="28"/>
          <w:szCs w:val="28"/>
        </w:rPr>
        <w:br w:type="page"/>
      </w:r>
    </w:p>
    <w:p w14:paraId="6CAD1E3E" w14:textId="77777777" w:rsidR="00A20C49" w:rsidRDefault="00A20C49">
      <w:pPr>
        <w:jc w:val="center"/>
        <w:rPr>
          <w:rFonts w:ascii="TH SarabunPSK" w:eastAsia="Sarabun" w:hAnsi="TH SarabunPSK" w:cs="TH SarabunPSK"/>
          <w:b/>
          <w:sz w:val="36"/>
          <w:szCs w:val="36"/>
        </w:rPr>
        <w:sectPr w:rsidR="00A20C49" w:rsidSect="006E7A7E">
          <w:pgSz w:w="12240" w:h="15840"/>
          <w:pgMar w:top="1985" w:right="1440" w:bottom="1440" w:left="1440" w:header="720" w:footer="720" w:gutter="0"/>
          <w:pgNumType w:start="1"/>
          <w:cols w:space="720"/>
        </w:sectPr>
      </w:pPr>
    </w:p>
    <w:p w14:paraId="486E24E3" w14:textId="26EF3AAD" w:rsidR="00FB24D9" w:rsidRPr="008B43DA" w:rsidRDefault="00A20C49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8B43DA">
        <w:rPr>
          <w:rFonts w:ascii="TH SarabunIT๙" w:eastAsia="Sarabun" w:hAnsi="TH SarabunIT๙" w:cs="TH SarabunIT๙"/>
          <w:b/>
          <w:sz w:val="36"/>
          <w:szCs w:val="36"/>
        </w:rPr>
        <w:lastRenderedPageBreak/>
        <w:t>รายงานผลการ</w:t>
      </w:r>
      <w:proofErr w:type="spellEnd"/>
      <w:r w:rsidRPr="008B43DA">
        <w:rPr>
          <w:rFonts w:ascii="TH SarabunIT๙" w:eastAsia="Sarabun" w:hAnsi="TH SarabunIT๙" w:cs="TH SarabunIT๙"/>
          <w:bCs/>
          <w:sz w:val="36"/>
          <w:szCs w:val="36"/>
          <w:cs/>
        </w:rPr>
        <w:t>ประเมินความเสี่ยงการทุจริต</w:t>
      </w:r>
      <w:r w:rsidR="008B5DAC" w:rsidRPr="008B43DA">
        <w:rPr>
          <w:rFonts w:ascii="TH SarabunIT๙" w:eastAsia="Sarabun" w:hAnsi="TH SarabunIT๙" w:cs="TH SarabunIT๙"/>
          <w:bCs/>
          <w:sz w:val="36"/>
          <w:szCs w:val="36"/>
        </w:rPr>
        <w:br/>
      </w:r>
      <w:proofErr w:type="spellStart"/>
      <w:r w:rsidR="008B5DAC" w:rsidRPr="008B43DA">
        <w:rPr>
          <w:rFonts w:ascii="TH SarabunIT๙" w:eastAsia="Sarabun" w:hAnsi="TH SarabunIT๙" w:cs="TH SarabunIT๙"/>
          <w:b/>
          <w:sz w:val="36"/>
          <w:szCs w:val="36"/>
        </w:rPr>
        <w:t>ของ</w:t>
      </w:r>
      <w:proofErr w:type="spellEnd"/>
      <w:r w:rsidR="00D83036" w:rsidRPr="008B43DA">
        <w:rPr>
          <w:rFonts w:ascii="TH SarabunIT๙" w:eastAsia="Sarabun" w:hAnsi="TH SarabunIT๙" w:cs="TH SarabunIT๙"/>
          <w:bCs/>
          <w:color w:val="000000" w:themeColor="text1"/>
          <w:sz w:val="36"/>
          <w:szCs w:val="36"/>
          <w:cs/>
        </w:rPr>
        <w:t>เทศบาลตำบลคำน้ำแซบ</w:t>
      </w:r>
      <w:r w:rsidR="008B5DAC" w:rsidRPr="008B43DA">
        <w:rPr>
          <w:rFonts w:ascii="TH SarabunIT๙" w:eastAsia="Sarabun" w:hAnsi="TH SarabunIT๙" w:cs="TH SarabunIT๙"/>
          <w:bCs/>
          <w:color w:val="000000" w:themeColor="text1"/>
          <w:sz w:val="36"/>
          <w:szCs w:val="36"/>
        </w:rPr>
        <w:t xml:space="preserve"> </w:t>
      </w:r>
      <w:proofErr w:type="spellStart"/>
      <w:r w:rsidR="008B5DAC" w:rsidRPr="008B43DA">
        <w:rPr>
          <w:rFonts w:ascii="TH SarabunIT๙" w:eastAsia="Sarabun" w:hAnsi="TH SarabunIT๙" w:cs="TH SarabunIT๙"/>
          <w:b/>
          <w:color w:val="000000" w:themeColor="text1"/>
          <w:sz w:val="36"/>
          <w:szCs w:val="36"/>
        </w:rPr>
        <w:t>อำเภอ</w:t>
      </w:r>
      <w:proofErr w:type="spellEnd"/>
      <w:r w:rsidR="00D83036" w:rsidRPr="008B43DA">
        <w:rPr>
          <w:rFonts w:ascii="TH SarabunIT๙" w:eastAsia="Sarabun" w:hAnsi="TH SarabunIT๙" w:cs="TH SarabunIT๙"/>
          <w:bCs/>
          <w:color w:val="000000" w:themeColor="text1"/>
          <w:sz w:val="36"/>
          <w:szCs w:val="36"/>
          <w:cs/>
        </w:rPr>
        <w:t xml:space="preserve">วารินชำราบ </w:t>
      </w:r>
      <w:proofErr w:type="spellStart"/>
      <w:r w:rsidR="008B5DAC" w:rsidRPr="008B43DA">
        <w:rPr>
          <w:rFonts w:ascii="TH SarabunIT๙" w:eastAsia="Sarabun" w:hAnsi="TH SarabunIT๙" w:cs="TH SarabunIT๙"/>
          <w:b/>
          <w:sz w:val="36"/>
          <w:szCs w:val="36"/>
        </w:rPr>
        <w:t>จังหวัดอุบลราชธานี</w:t>
      </w:r>
      <w:proofErr w:type="spellEnd"/>
      <w:r w:rsidR="008B5DAC" w:rsidRPr="008B43DA">
        <w:rPr>
          <w:rFonts w:ascii="TH SarabunIT๙" w:eastAsia="Sarabun" w:hAnsi="TH SarabunIT๙" w:cs="TH SarabunIT๙"/>
          <w:bCs/>
          <w:sz w:val="36"/>
          <w:szCs w:val="36"/>
        </w:rPr>
        <w:t xml:space="preserve"> </w:t>
      </w:r>
      <w:r w:rsidR="008B5DAC" w:rsidRPr="008B43DA">
        <w:rPr>
          <w:rFonts w:ascii="TH SarabunIT๙" w:eastAsia="Sarabun" w:hAnsi="TH SarabunIT๙" w:cs="TH SarabunIT๙"/>
          <w:bCs/>
          <w:sz w:val="36"/>
          <w:szCs w:val="36"/>
        </w:rPr>
        <w:br/>
      </w:r>
      <w:proofErr w:type="spellStart"/>
      <w:r w:rsidR="008B5DAC" w:rsidRPr="008B43DA">
        <w:rPr>
          <w:rFonts w:ascii="TH SarabunIT๙" w:eastAsia="Sarabun" w:hAnsi="TH SarabunIT๙" w:cs="TH SarabunIT๙"/>
          <w:b/>
          <w:sz w:val="36"/>
          <w:szCs w:val="36"/>
        </w:rPr>
        <w:t>ประจำปีงบประมาณ</w:t>
      </w:r>
      <w:proofErr w:type="spellEnd"/>
      <w:r w:rsidR="008B5DAC" w:rsidRPr="008B43DA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="008B5DAC" w:rsidRPr="008B43DA">
        <w:rPr>
          <w:rFonts w:ascii="TH SarabunIT๙" w:eastAsia="Sarabun" w:hAnsi="TH SarabunIT๙" w:cs="TH SarabunIT๙"/>
          <w:b/>
          <w:sz w:val="36"/>
          <w:szCs w:val="36"/>
        </w:rPr>
        <w:t>พ.ศ</w:t>
      </w:r>
      <w:proofErr w:type="spellEnd"/>
      <w:r w:rsidR="008B5DAC" w:rsidRPr="008B43DA">
        <w:rPr>
          <w:rFonts w:ascii="TH SarabunIT๙" w:eastAsia="Sarabun" w:hAnsi="TH SarabunIT๙" w:cs="TH SarabunIT๙"/>
          <w:b/>
          <w:sz w:val="36"/>
          <w:szCs w:val="36"/>
        </w:rPr>
        <w:t>. 2568</w:t>
      </w:r>
    </w:p>
    <w:tbl>
      <w:tblPr>
        <w:tblStyle w:val="a7"/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3813"/>
        <w:gridCol w:w="1281"/>
        <w:gridCol w:w="3255"/>
        <w:gridCol w:w="3558"/>
      </w:tblGrid>
      <w:tr w:rsidR="0039293E" w:rsidRPr="00A20C49" w14:paraId="0EACFECE" w14:textId="77777777" w:rsidTr="000454E4">
        <w:trPr>
          <w:trHeight w:val="1516"/>
          <w:tblHeader/>
        </w:trPr>
        <w:tc>
          <w:tcPr>
            <w:tcW w:w="2553" w:type="dxa"/>
            <w:shd w:val="clear" w:color="auto" w:fill="BCBAE6"/>
            <w:vAlign w:val="center"/>
          </w:tcPr>
          <w:p w14:paraId="34C38245" w14:textId="77777777" w:rsidR="00D83036" w:rsidRDefault="0039293E" w:rsidP="00A20C49">
            <w:pPr>
              <w:spacing w:before="120"/>
              <w:jc w:val="center"/>
              <w:rPr>
                <w:rFonts w:ascii="TH SarabunPSK" w:eastAsia="Sarabun" w:hAnsi="TH SarabunPSK" w:cs="TH SarabunPSK"/>
                <w:bCs/>
                <w:sz w:val="36"/>
                <w:szCs w:val="36"/>
              </w:rPr>
            </w:pPr>
            <w:r w:rsidRPr="00A20C49">
              <w:rPr>
                <w:rFonts w:ascii="TH SarabunPSK" w:eastAsia="Sarabun" w:hAnsi="TH SarabunPSK" w:cs="TH SarabunPSK" w:hint="cs"/>
                <w:bCs/>
                <w:sz w:val="36"/>
                <w:szCs w:val="36"/>
                <w:cs/>
              </w:rPr>
              <w:t>ประเด็นความเสี่ยง</w:t>
            </w:r>
          </w:p>
          <w:p w14:paraId="4489F5C0" w14:textId="2C438148" w:rsidR="0039293E" w:rsidRPr="00A20C49" w:rsidRDefault="0039293E" w:rsidP="00A20C49">
            <w:pPr>
              <w:spacing w:before="120"/>
              <w:jc w:val="center"/>
              <w:rPr>
                <w:rFonts w:ascii="TH SarabunPSK" w:eastAsia="Sarabun" w:hAnsi="TH SarabunPSK" w:cs="TH SarabunPSK"/>
                <w:bCs/>
                <w:sz w:val="36"/>
                <w:szCs w:val="36"/>
                <w:cs/>
              </w:rPr>
            </w:pPr>
            <w:r w:rsidRPr="00A20C49">
              <w:rPr>
                <w:rFonts w:ascii="TH SarabunPSK" w:eastAsia="Sarabun" w:hAnsi="TH SarabunPSK" w:cs="TH SarabunPSK" w:hint="cs"/>
                <w:bCs/>
                <w:sz w:val="36"/>
                <w:szCs w:val="36"/>
                <w:cs/>
              </w:rPr>
              <w:t>การทุจริต</w:t>
            </w:r>
          </w:p>
        </w:tc>
        <w:tc>
          <w:tcPr>
            <w:tcW w:w="3813" w:type="dxa"/>
            <w:shd w:val="clear" w:color="auto" w:fill="BCBAE6"/>
            <w:vAlign w:val="center"/>
          </w:tcPr>
          <w:p w14:paraId="7BA5A60E" w14:textId="77777777" w:rsidR="0039293E" w:rsidRPr="00A20C49" w:rsidRDefault="0039293E" w:rsidP="00A20C49">
            <w:pPr>
              <w:spacing w:before="120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proofErr w:type="spellStart"/>
            <w:r w:rsidRPr="00A20C49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เหตุการณ์ความเสี่ยง</w:t>
            </w:r>
            <w:proofErr w:type="spellEnd"/>
          </w:p>
        </w:tc>
        <w:tc>
          <w:tcPr>
            <w:tcW w:w="1281" w:type="dxa"/>
            <w:shd w:val="clear" w:color="auto" w:fill="BCBAE6"/>
            <w:vAlign w:val="center"/>
          </w:tcPr>
          <w:p w14:paraId="1CE06917" w14:textId="77777777" w:rsidR="0039293E" w:rsidRPr="00A20C49" w:rsidRDefault="0039293E" w:rsidP="00A20C4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proofErr w:type="spellStart"/>
            <w:r w:rsidRPr="00A20C49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ระดับของความเสี่ยง</w:t>
            </w:r>
            <w:proofErr w:type="spellEnd"/>
          </w:p>
        </w:tc>
        <w:tc>
          <w:tcPr>
            <w:tcW w:w="3255" w:type="dxa"/>
            <w:shd w:val="clear" w:color="auto" w:fill="BCBAE6"/>
            <w:vAlign w:val="center"/>
          </w:tcPr>
          <w:p w14:paraId="5BBB1758" w14:textId="77777777" w:rsidR="000454E4" w:rsidRDefault="0039293E" w:rsidP="00A20C49">
            <w:pPr>
              <w:spacing w:before="120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proofErr w:type="spellStart"/>
            <w:r w:rsidRPr="00A20C49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วิธีการในการบริหารจัดการ</w:t>
            </w:r>
            <w:proofErr w:type="spellEnd"/>
          </w:p>
          <w:p w14:paraId="682C5086" w14:textId="3B5C371D" w:rsidR="0039293E" w:rsidRPr="00A20C49" w:rsidRDefault="0039293E" w:rsidP="00A20C49">
            <w:pPr>
              <w:spacing w:before="120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proofErr w:type="spellStart"/>
            <w:r w:rsidRPr="00A20C49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ความเสี่ยง</w:t>
            </w:r>
            <w:proofErr w:type="spellEnd"/>
          </w:p>
        </w:tc>
        <w:tc>
          <w:tcPr>
            <w:tcW w:w="3558" w:type="dxa"/>
            <w:shd w:val="clear" w:color="auto" w:fill="BCBAE6"/>
          </w:tcPr>
          <w:p w14:paraId="220D7165" w14:textId="77777777" w:rsidR="000454E4" w:rsidRDefault="0039293E" w:rsidP="00A20C49">
            <w:pPr>
              <w:spacing w:before="120"/>
              <w:jc w:val="center"/>
              <w:rPr>
                <w:rFonts w:ascii="TH SarabunPSK" w:eastAsia="Sarabun" w:hAnsi="TH SarabunPSK" w:cs="TH SarabunPSK"/>
                <w:bCs/>
                <w:sz w:val="36"/>
                <w:szCs w:val="36"/>
              </w:rPr>
            </w:pPr>
            <w:r w:rsidRPr="0039293E">
              <w:rPr>
                <w:rFonts w:ascii="TH SarabunPSK" w:eastAsia="Sarabun" w:hAnsi="TH SarabunPSK" w:cs="TH SarabunPSK" w:hint="cs"/>
                <w:bCs/>
                <w:sz w:val="36"/>
                <w:szCs w:val="36"/>
                <w:cs/>
              </w:rPr>
              <w:t>ผลการดำเนินการ</w:t>
            </w:r>
          </w:p>
          <w:p w14:paraId="071A153A" w14:textId="337B7392" w:rsidR="0039293E" w:rsidRPr="0039293E" w:rsidRDefault="0039293E" w:rsidP="00A20C49">
            <w:pPr>
              <w:spacing w:before="120"/>
              <w:jc w:val="center"/>
              <w:rPr>
                <w:rFonts w:ascii="TH SarabunPSK" w:eastAsia="Sarabun" w:hAnsi="TH SarabunPSK" w:cs="TH SarabunPSK"/>
                <w:bCs/>
                <w:sz w:val="36"/>
                <w:szCs w:val="36"/>
                <w:cs/>
              </w:rPr>
            </w:pPr>
            <w:r w:rsidRPr="0039293E">
              <w:rPr>
                <w:rFonts w:ascii="TH SarabunPSK" w:eastAsia="Sarabun" w:hAnsi="TH SarabunPSK" w:cs="TH SarabunPSK" w:hint="cs"/>
                <w:bCs/>
                <w:sz w:val="36"/>
                <w:szCs w:val="36"/>
                <w:cs/>
              </w:rPr>
              <w:t>ตามวิธีการ</w:t>
            </w:r>
            <w:proofErr w:type="spellStart"/>
            <w:r w:rsidRPr="0039293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ในการบริหารจัดการความเสี่ยง</w:t>
            </w:r>
            <w:proofErr w:type="spellEnd"/>
          </w:p>
        </w:tc>
      </w:tr>
      <w:tr w:rsidR="0039293E" w:rsidRPr="00A20C49" w14:paraId="1AC6D815" w14:textId="77777777" w:rsidTr="000454E4">
        <w:trPr>
          <w:trHeight w:val="323"/>
        </w:trPr>
        <w:tc>
          <w:tcPr>
            <w:tcW w:w="2553" w:type="dxa"/>
            <w:shd w:val="clear" w:color="auto" w:fill="auto"/>
          </w:tcPr>
          <w:p w14:paraId="768C97AA" w14:textId="6727987C" w:rsidR="0039293E" w:rsidRPr="00AD5F11" w:rsidRDefault="000454E4" w:rsidP="00AD5F11">
            <w:pPr>
              <w:spacing w:before="120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AD5F11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1.การอนุมัติ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</w:p>
        </w:tc>
        <w:tc>
          <w:tcPr>
            <w:tcW w:w="3813" w:type="dxa"/>
          </w:tcPr>
          <w:p w14:paraId="4F001610" w14:textId="77777777" w:rsidR="000454E4" w:rsidRPr="00AD5F11" w:rsidRDefault="000454E4" w:rsidP="000454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5F1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5F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เจ้าหน้าที่ใช้ตำแหน่งหน้าที่เพื่อช่วยเหลือหรืออำนวยความสะดวกให้บุคคลหรือผู้รับบริการ</w:t>
            </w:r>
          </w:p>
          <w:p w14:paraId="34F12AB5" w14:textId="515B4046" w:rsidR="0039293E" w:rsidRPr="000454E4" w:rsidRDefault="000454E4" w:rsidP="000454E4">
            <w:pPr>
              <w:spacing w:before="120" w:after="120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u w:val="double"/>
                <w:cs/>
              </w:rPr>
            </w:pPr>
            <w:r w:rsidRPr="00AD5F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มีการเรียกรับหรือยอมรับสินบนของขวัญหรือของกำนัลที่มีค่าซึ่งส่งผลต่อการปฏิบัติหน้าที่</w:t>
            </w:r>
          </w:p>
        </w:tc>
        <w:tc>
          <w:tcPr>
            <w:tcW w:w="1281" w:type="dxa"/>
          </w:tcPr>
          <w:p w14:paraId="58F2BF4C" w14:textId="32B0954B" w:rsidR="0039293E" w:rsidRPr="008B5DAC" w:rsidRDefault="000454E4">
            <w:pPr>
              <w:spacing w:before="120" w:after="12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ไม่มีความเสี่ยง/ความเสี่ยงน้อย </w:t>
            </w:r>
          </w:p>
        </w:tc>
        <w:tc>
          <w:tcPr>
            <w:tcW w:w="3255" w:type="dxa"/>
          </w:tcPr>
          <w:p w14:paraId="555D391D" w14:textId="77777777" w:rsidR="00AD5F11" w:rsidRPr="00AD5F11" w:rsidRDefault="00AD5F11" w:rsidP="00AD5F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5F1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5F1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AD5F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เอกสารที่ระบุรายละเอียดข้อปฏิบัติต่างๆ ในการปฏิบัติงานที่จะเป็นการป้องกันการไม่เข้าไปเกี่ยวข้องกับการทุจริตในเรื่องต่างๆ</w:t>
            </w:r>
          </w:p>
          <w:p w14:paraId="7464E02E" w14:textId="77777777" w:rsidR="00AD5F11" w:rsidRPr="00AD5F11" w:rsidRDefault="00AD5F11" w:rsidP="00AD5F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5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D5F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จัดทำมาตรการป้องกันป้องกันการรับสินบนให้ผู้ปฏิบัติงานในองค์กรทุกระดับถือปฏิบัติ</w:t>
            </w:r>
          </w:p>
          <w:p w14:paraId="5CF92BF6" w14:textId="77777777" w:rsidR="00AD5F11" w:rsidRPr="00AD5F11" w:rsidRDefault="00AD5F11" w:rsidP="00AD5F1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5F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กำหนดนโยบาย มาตรการ หรือแนวทางการปฏิบัติที่ดีเพื่อเป็นการป้องกันการทุจริต</w:t>
            </w:r>
          </w:p>
          <w:p w14:paraId="21B992BC" w14:textId="77777777" w:rsidR="00214234" w:rsidRDefault="00AD5F11" w:rsidP="00AD5F11">
            <w:pPr>
              <w:widowControl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AD5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AD5F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ผู้บังคับบัญชาในหน่วยงานมีการกำกับ ติดตามอย่างใกล้ชิด</w:t>
            </w:r>
          </w:p>
          <w:p w14:paraId="7807C6A6" w14:textId="77777777" w:rsidR="00214234" w:rsidRDefault="00214234" w:rsidP="00AD5F11">
            <w:pPr>
              <w:widowControl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A1B101" w14:textId="5D5CB88D" w:rsidR="0039293E" w:rsidRPr="008B5DAC" w:rsidRDefault="00AD5F11" w:rsidP="00AD5F11">
            <w:pPr>
              <w:widowControl w:val="0"/>
              <w:spacing w:before="120" w:after="12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</w:tc>
        <w:tc>
          <w:tcPr>
            <w:tcW w:w="3558" w:type="dxa"/>
          </w:tcPr>
          <w:p w14:paraId="1D1070DF" w14:textId="06C02B8B" w:rsidR="0039293E" w:rsidRPr="008B5DAC" w:rsidRDefault="000454E4">
            <w:pPr>
              <w:widowControl w:val="0"/>
              <w:spacing w:before="120" w:after="120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</w:pPr>
            <w:r w:rsidRPr="000454E4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-</w:t>
            </w:r>
            <w:r w:rsidR="00AD5F11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จำนวน</w:t>
            </w:r>
            <w:r w:rsidRPr="000454E4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เรื่องร้องเรียน</w:t>
            </w:r>
            <w:r w:rsidR="00AD5F11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มีปริมาณน้อยลง</w:t>
            </w:r>
          </w:p>
        </w:tc>
      </w:tr>
      <w:tr w:rsidR="00214234" w:rsidRPr="00A20C49" w14:paraId="375E6CE5" w14:textId="77777777" w:rsidTr="000454E4">
        <w:tc>
          <w:tcPr>
            <w:tcW w:w="2553" w:type="dxa"/>
            <w:shd w:val="clear" w:color="auto" w:fill="auto"/>
          </w:tcPr>
          <w:p w14:paraId="7993F069" w14:textId="7656D05D" w:rsidR="00214234" w:rsidRPr="00214234" w:rsidRDefault="00214234" w:rsidP="00214234">
            <w:pPr>
              <w:spacing w:before="120" w:after="120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</w:t>
            </w:r>
            <w:r w:rsidRPr="002142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การใช้อำนาจตามกฎหมาย/การให้บริการตามภารกิจ</w:t>
            </w:r>
          </w:p>
        </w:tc>
        <w:tc>
          <w:tcPr>
            <w:tcW w:w="3813" w:type="dxa"/>
          </w:tcPr>
          <w:p w14:paraId="3B7AF39E" w14:textId="22CA9A48" w:rsidR="00214234" w:rsidRPr="00214234" w:rsidRDefault="00214234" w:rsidP="00214234">
            <w:pPr>
              <w:spacing w:before="120" w:after="120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2142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เจ้าหน้าที่ใช้ตำแหน่งหน้าที่ราชการเพื่อช่วยเหลือ อำนวยความสะดวกให้แก่ผู้รับบริการหรือบุคคลหนึ่งบุคคลใดโดยเรียกรับสินบนเป็นการตอบแทน</w:t>
            </w:r>
          </w:p>
        </w:tc>
        <w:tc>
          <w:tcPr>
            <w:tcW w:w="1281" w:type="dxa"/>
          </w:tcPr>
          <w:p w14:paraId="76E0B775" w14:textId="563AA19A" w:rsidR="00214234" w:rsidRPr="005D030C" w:rsidRDefault="00214234" w:rsidP="00214234">
            <w:pPr>
              <w:spacing w:before="120" w:after="12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D030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255" w:type="dxa"/>
          </w:tcPr>
          <w:p w14:paraId="5FAEFC6E" w14:textId="77777777" w:rsidR="00214234" w:rsidRPr="00214234" w:rsidRDefault="00214234" w:rsidP="002142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- กำหนดนโยบาย มาตรการหรือแนวทางการปฏิบัติเพื่อป้องกันการเรียกรับสินบนให้เจ้าหน้าที่ทุกคนในองค์กรถือปฏิบัติ</w:t>
            </w:r>
          </w:p>
          <w:p w14:paraId="5716E146" w14:textId="77777777" w:rsidR="00214234" w:rsidRPr="00214234" w:rsidRDefault="00214234" w:rsidP="002142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2142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มาตรการป้องกันการขัดกันระหว่างผลประโยชน์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ส่วนตนกับผลประโยชน์ส่วนรวม</w:t>
            </w:r>
          </w:p>
          <w:p w14:paraId="23CD280D" w14:textId="77777777" w:rsidR="00214234" w:rsidRPr="00214234" w:rsidRDefault="00214234" w:rsidP="002142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- เจ้าหน้าที่ทุกคนปฏิบัติหน้าที่ของตนเองให้ถูกต้อง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 กฎหมาย และผู้บังคับบัญชาควบคุมกำกับดูแลการปฏิบัติหน้าที่</w:t>
            </w:r>
          </w:p>
          <w:p w14:paraId="670C610B" w14:textId="10864A99" w:rsidR="00214234" w:rsidRPr="00214234" w:rsidRDefault="00214234" w:rsidP="00214234">
            <w:pPr>
              <w:spacing w:before="120" w:after="120"/>
              <w:jc w:val="thaiDistribute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ประชาสัมพันธ์ช่องทางการร้องเรียนเรื่องการทุจริต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ของเจ้าหน้าที่ในองค์กรให้ประชาชนทราบ เพื่อสร้างความ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เกรงกลัวสำหรับการเรียกรับสินบนของเจ้าหน้าที่</w:t>
            </w:r>
          </w:p>
          <w:p w14:paraId="25EAF326" w14:textId="22566278" w:rsidR="00214234" w:rsidRPr="00A20C49" w:rsidRDefault="00214234" w:rsidP="00214234">
            <w:pPr>
              <w:spacing w:before="120" w:after="120"/>
              <w:jc w:val="both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</w:p>
        </w:tc>
        <w:tc>
          <w:tcPr>
            <w:tcW w:w="3558" w:type="dxa"/>
          </w:tcPr>
          <w:p w14:paraId="417EC528" w14:textId="3C913BC3" w:rsidR="00214234" w:rsidRPr="00214234" w:rsidRDefault="00214234" w:rsidP="00214234">
            <w:pPr>
              <w:spacing w:before="120" w:after="120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142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จำนวนเรื่องร้องเรียนลดลง/ไม่มีเลย</w:t>
            </w:r>
          </w:p>
        </w:tc>
      </w:tr>
      <w:tr w:rsidR="001A7574" w:rsidRPr="00A20C49" w14:paraId="54D2C9C8" w14:textId="77777777" w:rsidTr="000454E4">
        <w:tc>
          <w:tcPr>
            <w:tcW w:w="2553" w:type="dxa"/>
            <w:shd w:val="clear" w:color="auto" w:fill="auto"/>
          </w:tcPr>
          <w:p w14:paraId="3C844D1B" w14:textId="3BC11C3E" w:rsidR="001A7574" w:rsidRPr="00214234" w:rsidRDefault="001A7574" w:rsidP="001A7574">
            <w:pPr>
              <w:spacing w:before="120" w:after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3. </w:t>
            </w:r>
            <w:r w:rsidRPr="002142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3813" w:type="dxa"/>
          </w:tcPr>
          <w:p w14:paraId="4B9431F7" w14:textId="77777777" w:rsidR="001A7574" w:rsidRPr="00214234" w:rsidRDefault="001A7574" w:rsidP="001A75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- ผู้มีอำนาจอนุมัติหรือ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เจ้าหน้าที่ที่เกี่ยวข้อง เลือกซื้อ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หรือเลือกวิธีการเจาะจงกับ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ร้านที่ตนเองรู้จัก หรือพูดคุย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ได้ง่าย</w:t>
            </w:r>
          </w:p>
          <w:p w14:paraId="0F4DB896" w14:textId="77777777" w:rsidR="001A7574" w:rsidRPr="00214234" w:rsidRDefault="001A7574" w:rsidP="001A75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- เจ้าหน้าที่ที่ได้รับการแต่งตั้งเป็นคณะกรรมการ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ขาดความรู้ในการตรวจรับงาน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8EDC53" w14:textId="33AEFC87" w:rsidR="001A7574" w:rsidRPr="00214234" w:rsidRDefault="001A7574" w:rsidP="001A7574">
            <w:pPr>
              <w:spacing w:before="120" w:after="120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- ผู้ควบคุมงานไม่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ควบคุมงานให้เป็นไปตามแบบ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หรือมิได้กำหนดรูปแบบ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รายการและอาศัยช่องว่าง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กฎหมายเอื้อประโยชน์แก่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บุคคลกลุ่มใดกลุ่มหนึ่ง</w:t>
            </w:r>
          </w:p>
        </w:tc>
        <w:tc>
          <w:tcPr>
            <w:tcW w:w="1281" w:type="dxa"/>
          </w:tcPr>
          <w:p w14:paraId="15A73BFD" w14:textId="595D67CA" w:rsidR="001A7574" w:rsidRPr="005D030C" w:rsidRDefault="001A7574" w:rsidP="001A7574">
            <w:pPr>
              <w:spacing w:before="120" w:after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D030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ความเสี่ยงน้อย</w:t>
            </w:r>
          </w:p>
        </w:tc>
        <w:tc>
          <w:tcPr>
            <w:tcW w:w="3255" w:type="dxa"/>
          </w:tcPr>
          <w:p w14:paraId="3B134795" w14:textId="77777777" w:rsidR="001A7574" w:rsidRPr="001A7574" w:rsidRDefault="001A7574" w:rsidP="001A75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75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A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จัดทำคู่มือการปฏิบัติงานเพื่อป้องกันผลประโยชน์ทับซ้อน</w:t>
            </w:r>
          </w:p>
          <w:p w14:paraId="6DADFBBD" w14:textId="77777777" w:rsidR="001A7574" w:rsidRPr="001A7574" w:rsidRDefault="001A7574" w:rsidP="001A75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75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A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จัดทำนโยบายไม่รับของขวัญหรือของกำนัลที่มีค่าซึ่งส่งผลต่อการปฏิบัติหน้าที่</w:t>
            </w:r>
            <w:r w:rsidRPr="001A75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BB51899" w14:textId="372CE619" w:rsidR="001A7574" w:rsidRPr="00A20C49" w:rsidRDefault="001A7574" w:rsidP="001A7574">
            <w:pPr>
              <w:spacing w:before="120" w:after="120"/>
              <w:jc w:val="thaiDistribute"/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1A757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A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ควบคุมและติดตามการทำงานอย่างใกล้ชิดและกำชับให้เจ้าหน้าที่ปฏิบัติตามระเบียบอย่างเคร่งครัด</w:t>
            </w:r>
          </w:p>
        </w:tc>
        <w:tc>
          <w:tcPr>
            <w:tcW w:w="3558" w:type="dxa"/>
          </w:tcPr>
          <w:p w14:paraId="7D7D8E8E" w14:textId="4A44A11B" w:rsidR="001A7574" w:rsidRPr="001A7574" w:rsidRDefault="001A7574" w:rsidP="001A7574">
            <w:pPr>
              <w:spacing w:before="120" w:after="120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A75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A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ของเจ้าหน้าที่ด้านการจัดซื้อจัดจ้างมีความรัดกุมและถูกต้องตามระเบียบและผลประโยชน์ทับซ้อนมีปริมาณลดลง</w:t>
            </w:r>
          </w:p>
        </w:tc>
      </w:tr>
      <w:tr w:rsidR="00601672" w:rsidRPr="00A20C49" w14:paraId="1BEC67BC" w14:textId="77777777" w:rsidTr="000454E4">
        <w:trPr>
          <w:trHeight w:val="485"/>
        </w:trPr>
        <w:tc>
          <w:tcPr>
            <w:tcW w:w="2553" w:type="dxa"/>
            <w:shd w:val="clear" w:color="auto" w:fill="auto"/>
          </w:tcPr>
          <w:p w14:paraId="3593E296" w14:textId="3BF0F4A0" w:rsidR="00601672" w:rsidRPr="0030174C" w:rsidRDefault="00601672" w:rsidP="00601672">
            <w:pPr>
              <w:spacing w:before="120" w:after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017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3017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3813" w:type="dxa"/>
          </w:tcPr>
          <w:p w14:paraId="056861AC" w14:textId="2435B190" w:rsidR="00601672" w:rsidRPr="0030174C" w:rsidRDefault="00601672" w:rsidP="00601672">
            <w:pPr>
              <w:spacing w:before="120" w:after="120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0174C">
              <w:rPr>
                <w:rFonts w:ascii="TH SarabunIT๙" w:hAnsi="TH SarabunIT๙" w:cs="TH SarabunIT๙"/>
                <w:sz w:val="32"/>
                <w:szCs w:val="32"/>
                <w:cs/>
              </w:rPr>
              <w:t>- กระบวนการสรรหาพนักงานจ้าง อาจมีการ</w:t>
            </w:r>
            <w:r w:rsidRPr="003017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เรียกรับสินบนในการ</w:t>
            </w:r>
            <w:r w:rsidRPr="0030174C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เข้าทำงานในหน่วยงาน</w:t>
            </w:r>
          </w:p>
        </w:tc>
        <w:tc>
          <w:tcPr>
            <w:tcW w:w="1281" w:type="dxa"/>
          </w:tcPr>
          <w:p w14:paraId="1077BA69" w14:textId="6BBB693D" w:rsidR="00601672" w:rsidRPr="00CB57F8" w:rsidRDefault="00601672" w:rsidP="00601672">
            <w:pPr>
              <w:spacing w:before="120" w:after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57F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255" w:type="dxa"/>
          </w:tcPr>
          <w:p w14:paraId="2F8030F4" w14:textId="77777777" w:rsidR="00601672" w:rsidRPr="0030174C" w:rsidRDefault="00601672" w:rsidP="006016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74C">
              <w:rPr>
                <w:rFonts w:ascii="TH SarabunIT๙" w:hAnsi="TH SarabunIT๙" w:cs="TH SarabunIT๙"/>
                <w:sz w:val="32"/>
                <w:szCs w:val="32"/>
                <w:cs/>
              </w:rPr>
              <w:t>- กำหนดเกณฑ์ในการพิจารณาให้คะแนนให้มีความชัดเจน</w:t>
            </w:r>
          </w:p>
          <w:p w14:paraId="5896D15F" w14:textId="77777777" w:rsidR="00601672" w:rsidRDefault="00601672" w:rsidP="00601672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3017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 มาตรการหรือแนวทางการปฏิบัติเพื่อป้องกันการรับสินบนให้เจ้าหน้าที่ทุกคนถือปฏิบัติ</w:t>
            </w:r>
          </w:p>
          <w:p w14:paraId="2CEB1A0E" w14:textId="77777777" w:rsidR="00601672" w:rsidRPr="00214234" w:rsidRDefault="00601672" w:rsidP="00601672">
            <w:pPr>
              <w:spacing w:before="120" w:after="120"/>
              <w:jc w:val="thaiDistribute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ประชาสัมพันธ์ช่องทางการร้องเรียนเรื่องการทุจริต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ของเจ้าหน้าที่ในองค์กรให้ประชาชนทราบ เพื่อสร้างความ</w:t>
            </w:r>
            <w:r w:rsidRPr="002142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t>เกรงกลัว</w:t>
            </w:r>
            <w:r w:rsidRPr="0021423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สำหรับการเรียกรับสินบนของเจ้าหน้าที่</w:t>
            </w:r>
          </w:p>
          <w:p w14:paraId="5C370717" w14:textId="3DC20DC3" w:rsidR="00601672" w:rsidRPr="00A20C49" w:rsidRDefault="00601672" w:rsidP="00601672">
            <w:pPr>
              <w:spacing w:before="120" w:after="120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</w:p>
        </w:tc>
        <w:tc>
          <w:tcPr>
            <w:tcW w:w="3558" w:type="dxa"/>
          </w:tcPr>
          <w:p w14:paraId="77DAE094" w14:textId="77777777" w:rsidR="00601672" w:rsidRDefault="00601672" w:rsidP="0060167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1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กระบวนการสรรหาพนักงานจ้าง</w:t>
            </w:r>
            <w:r w:rsidRPr="006016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มีความโปร่งใสและเป็นไปตาระเบียบกฎหมาย</w:t>
            </w:r>
          </w:p>
          <w:p w14:paraId="4617D8FE" w14:textId="25BFF6F5" w:rsidR="006A4209" w:rsidRPr="00601672" w:rsidRDefault="006A4209" w:rsidP="00601672">
            <w:pPr>
              <w:spacing w:before="120" w:after="120"/>
              <w:jc w:val="thaiDistribute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จำนวนเรื่องร้องเรียน</w:t>
            </w:r>
            <w:r w:rsidR="005D0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มีปริมาณ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ลดลง</w:t>
            </w:r>
          </w:p>
        </w:tc>
      </w:tr>
    </w:tbl>
    <w:p w14:paraId="57545A82" w14:textId="77777777" w:rsidR="00FB24D9" w:rsidRPr="00A20C49" w:rsidRDefault="00FB24D9">
      <w:pPr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sectPr w:rsidR="00FB24D9" w:rsidRPr="00A20C49" w:rsidSect="000454E4">
      <w:pgSz w:w="15840" w:h="12240" w:orient="landscape"/>
      <w:pgMar w:top="1440" w:right="1134" w:bottom="14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D3197"/>
    <w:multiLevelType w:val="hybridMultilevel"/>
    <w:tmpl w:val="9C9E023C"/>
    <w:lvl w:ilvl="0" w:tplc="B5EA85BA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F3C82"/>
    <w:multiLevelType w:val="hybridMultilevel"/>
    <w:tmpl w:val="DB6C6DC2"/>
    <w:lvl w:ilvl="0" w:tplc="F33E4DA4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D9"/>
    <w:rsid w:val="000454E4"/>
    <w:rsid w:val="001A7574"/>
    <w:rsid w:val="00214234"/>
    <w:rsid w:val="0030174C"/>
    <w:rsid w:val="0039293E"/>
    <w:rsid w:val="005D030C"/>
    <w:rsid w:val="00601672"/>
    <w:rsid w:val="006A4209"/>
    <w:rsid w:val="006E7A7E"/>
    <w:rsid w:val="0088332E"/>
    <w:rsid w:val="008B43DA"/>
    <w:rsid w:val="008B5DAC"/>
    <w:rsid w:val="00A20C49"/>
    <w:rsid w:val="00AD5F11"/>
    <w:rsid w:val="00CB57F8"/>
    <w:rsid w:val="00D83036"/>
    <w:rsid w:val="00E135F8"/>
    <w:rsid w:val="00FB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5171"/>
  <w15:docId w15:val="{84561231-B7F6-4080-B16E-497092F4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8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62173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0oXW+xQ67+c3TwRJg2lQLQoaw==">CgMxLjA4AHIhMWdNMW5zYTFXMlgzLVpjWUFoMmlLcEdBMlc4ZU5rUDFL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Pimchanok Phuykamsing</dc:creator>
  <cp:lastModifiedBy>ASUS</cp:lastModifiedBy>
  <cp:revision>10</cp:revision>
  <dcterms:created xsi:type="dcterms:W3CDTF">2026-05-29T08:00:00Z</dcterms:created>
  <dcterms:modified xsi:type="dcterms:W3CDTF">2026-05-29T08:42:00Z</dcterms:modified>
</cp:coreProperties>
</file>